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F79BC" w14:textId="73FACFDB" w:rsidR="0012576B" w:rsidRPr="0012576B" w:rsidRDefault="0012576B" w:rsidP="0012576B">
      <w:pPr>
        <w:widowControl/>
        <w:suppressAutoHyphens/>
        <w:spacing w:before="240" w:after="240" w:line="25" w:lineRule="atLeast"/>
        <w:contextualSpacing/>
        <w:outlineLvl w:val="0"/>
        <w:rPr>
          <w:rFonts w:ascii="Calibri" w:hAnsi="Calibri" w:cs="Calibri"/>
          <w:bCs/>
          <w:color w:val="auto"/>
          <w:szCs w:val="22"/>
          <w:u w:val="single"/>
          <w:lang w:eastAsia="zh-CN" w:bidi="ar-SA"/>
        </w:rPr>
      </w:pPr>
      <w:r w:rsidRPr="0012576B">
        <w:rPr>
          <w:rFonts w:ascii="Calibri" w:hAnsi="Calibri" w:cs="Calibri"/>
          <w:bCs/>
          <w:color w:val="auto"/>
          <w:szCs w:val="22"/>
          <w:u w:val="single"/>
          <w:lang w:eastAsia="zh-CN" w:bidi="ar-SA"/>
        </w:rPr>
        <w:t>Standardy Ochrony Małoletnich</w:t>
      </w:r>
    </w:p>
    <w:p w14:paraId="495DF96A" w14:textId="77777777" w:rsidR="0012576B" w:rsidRPr="0012576B" w:rsidRDefault="0012576B" w:rsidP="0012576B">
      <w:pPr>
        <w:widowControl/>
        <w:numPr>
          <w:ilvl w:val="6"/>
          <w:numId w:val="1"/>
        </w:numPr>
        <w:suppressAutoHyphens/>
        <w:spacing w:before="240" w:after="240" w:line="25" w:lineRule="atLeast"/>
        <w:ind w:left="426" w:hanging="426"/>
        <w:rPr>
          <w:rFonts w:ascii="Calibri" w:hAnsi="Calibri" w:cs="Calibri"/>
          <w:b w:val="0"/>
          <w:color w:val="auto"/>
          <w:szCs w:val="22"/>
          <w:lang w:eastAsia="zh-CN" w:bidi="ar-SA"/>
        </w:rPr>
      </w:pPr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>Wykonawca oświadcza, że znana mu jest treść ustawy z 13 maja 2016 r. o przeciwdziałaniu zagrożeniom przestępczością na tle seksualnym i ochronie małoletnich (</w:t>
      </w:r>
      <w:proofErr w:type="spellStart"/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>t.j</w:t>
      </w:r>
      <w:proofErr w:type="spellEnd"/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 xml:space="preserve">. Dz. U. z 2024 r. poz. 560 z </w:t>
      </w:r>
      <w:proofErr w:type="spellStart"/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>późn</w:t>
      </w:r>
      <w:proofErr w:type="spellEnd"/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>. zm.) oraz obowiązki z niej wynikające min. obowiązek wprowadzenia standardów ochrony małoletnich wskazany w art. 22b ww. ustawy, jak również sankcje związane z ich niedopełnieniem.</w:t>
      </w:r>
    </w:p>
    <w:p w14:paraId="3536225D" w14:textId="77777777" w:rsidR="0012576B" w:rsidRPr="0012576B" w:rsidRDefault="0012576B" w:rsidP="0012576B">
      <w:pPr>
        <w:widowControl/>
        <w:numPr>
          <w:ilvl w:val="6"/>
          <w:numId w:val="1"/>
        </w:numPr>
        <w:suppressAutoHyphens/>
        <w:spacing w:before="240" w:after="240" w:line="25" w:lineRule="atLeast"/>
        <w:ind w:left="426" w:hanging="426"/>
        <w:rPr>
          <w:rFonts w:ascii="Calibri" w:hAnsi="Calibri" w:cs="Calibri"/>
          <w:b w:val="0"/>
          <w:color w:val="auto"/>
          <w:szCs w:val="22"/>
          <w:lang w:eastAsia="zh-CN" w:bidi="ar-SA"/>
        </w:rPr>
      </w:pPr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 xml:space="preserve">Przed dopuszczeniem do realizacji zadań wynikających z  umowy określonych ww. ustawą Wykonawca każdorazowo zweryfikuje osoby biorące udział przy wykonywaniu zadań pod kątem ich figurowania w Rejestrze Sprawców Przestępstw na Tle Seksualnym z dostępem ograniczonym oraz Rejestrze osób, w stosunku do których Państwowa Komisja do spraw przeciwdziałania wykorzystaniu seksualnemu małoletnich poniżej lat 15 wydała postanowienie </w:t>
      </w:r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br/>
        <w:t>o wpisie (zwanych dalej Rejestrami) oraz kolejno przedstawi informację z weryfikacji  (wydruki) Zamawiającemu.</w:t>
      </w:r>
    </w:p>
    <w:p w14:paraId="78D10EDE" w14:textId="77777777" w:rsidR="0012576B" w:rsidRPr="0012576B" w:rsidRDefault="0012576B" w:rsidP="0012576B">
      <w:pPr>
        <w:widowControl/>
        <w:numPr>
          <w:ilvl w:val="6"/>
          <w:numId w:val="1"/>
        </w:numPr>
        <w:suppressAutoHyphens/>
        <w:spacing w:before="240" w:after="240" w:line="25" w:lineRule="atLeast"/>
        <w:ind w:left="426" w:hanging="426"/>
        <w:rPr>
          <w:rFonts w:ascii="Calibri" w:hAnsi="Calibri"/>
          <w:b w:val="0"/>
          <w:color w:val="auto"/>
          <w:szCs w:val="22"/>
          <w:lang w:eastAsia="zh-CN" w:bidi="ar-SA"/>
        </w:rPr>
      </w:pPr>
      <w:r w:rsidRPr="0012576B">
        <w:rPr>
          <w:rFonts w:ascii="Calibri" w:hAnsi="Calibri"/>
          <w:b w:val="0"/>
          <w:color w:val="auto"/>
          <w:szCs w:val="22"/>
          <w:lang w:eastAsia="zh-CN" w:bidi="ar-SA"/>
        </w:rPr>
        <w:t>Przy wykonywaniu umowy, w ww. zakresie nie będą brały udziału osoby, które:</w:t>
      </w:r>
    </w:p>
    <w:p w14:paraId="073446A0" w14:textId="77777777" w:rsidR="0012576B" w:rsidRPr="0012576B" w:rsidRDefault="0012576B" w:rsidP="0012576B">
      <w:pPr>
        <w:widowControl/>
        <w:numPr>
          <w:ilvl w:val="0"/>
          <w:numId w:val="2"/>
        </w:numPr>
        <w:suppressAutoHyphens/>
        <w:spacing w:before="240" w:after="240" w:line="25" w:lineRule="atLeast"/>
        <w:rPr>
          <w:rFonts w:ascii="Calibri" w:hAnsi="Calibri" w:cs="Calibri"/>
          <w:b w:val="0"/>
          <w:color w:val="auto"/>
          <w:szCs w:val="22"/>
          <w:lang w:eastAsia="zh-CN" w:bidi="ar-SA"/>
        </w:rPr>
      </w:pPr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 xml:space="preserve">widnieją w Rejestrach albo zostały prawomocnie skazane za przestępstwo określone </w:t>
      </w:r>
      <w:proofErr w:type="gramStart"/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>w  rozdziale</w:t>
      </w:r>
      <w:proofErr w:type="gramEnd"/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 xml:space="preserve"> XIX i XXV Kodeksu karnego, przestępstwo określone w art. 189a i art. 207 Kodeksu karnego lub w ustawie z dnia 29 lipca 2005 r. o przeciwdziałaniu narkomanii. Każdorazowo pracownik Wykonawcy bądź Podwykonawcy pobiera przed dopuszczeniem </w:t>
      </w:r>
      <w:proofErr w:type="gramStart"/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>do  realizacji</w:t>
      </w:r>
      <w:proofErr w:type="gramEnd"/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 xml:space="preserve"> zadań wynikających z umowy w zakresie działalności związanej z edukacją lub realizacją innych zainteresowań przez małoletnich informację oraz kolejno przedstawia Zamawiającemu informację z KRK,</w:t>
      </w:r>
    </w:p>
    <w:p w14:paraId="7B8611DB" w14:textId="77777777" w:rsidR="0012576B" w:rsidRPr="0012576B" w:rsidRDefault="0012576B" w:rsidP="0012576B">
      <w:pPr>
        <w:widowControl/>
        <w:numPr>
          <w:ilvl w:val="0"/>
          <w:numId w:val="2"/>
        </w:numPr>
        <w:suppressAutoHyphens/>
        <w:spacing w:before="240" w:after="240" w:line="25" w:lineRule="atLeast"/>
        <w:rPr>
          <w:rFonts w:ascii="Calibri" w:hAnsi="Calibri" w:cs="Calibri"/>
          <w:b w:val="0"/>
          <w:color w:val="auto"/>
          <w:szCs w:val="22"/>
          <w:lang w:eastAsia="zh-CN" w:bidi="ar-SA"/>
        </w:rPr>
      </w:pPr>
      <w:r w:rsidRPr="0012576B">
        <w:rPr>
          <w:rFonts w:ascii="Calibri" w:hAnsi="Calibri" w:cs="Calibri"/>
          <w:b w:val="0"/>
          <w:color w:val="auto"/>
          <w:szCs w:val="22"/>
          <w:lang w:eastAsia="zh-CN" w:bidi="ar-SA"/>
        </w:rPr>
        <w:t>nie zostały poddane weryfikacji pod kątem figurowania w Rejestrach,</w:t>
      </w:r>
    </w:p>
    <w:p w14:paraId="6168056E" w14:textId="77777777" w:rsidR="0012576B" w:rsidRPr="0012576B" w:rsidRDefault="0012576B" w:rsidP="0012576B">
      <w:pPr>
        <w:widowControl/>
        <w:numPr>
          <w:ilvl w:val="0"/>
          <w:numId w:val="2"/>
        </w:numPr>
        <w:suppressAutoHyphens/>
        <w:spacing w:before="240" w:after="240" w:line="25" w:lineRule="atLeast"/>
        <w:rPr>
          <w:rFonts w:ascii="Calibri" w:eastAsia="Arial Unicode MS" w:hAnsi="Calibri" w:cs="Calibri"/>
          <w:b w:val="0"/>
          <w:color w:val="auto"/>
          <w:szCs w:val="22"/>
          <w:lang w:eastAsia="en-US" w:bidi="ar-SA"/>
        </w:rPr>
      </w:pPr>
      <w:r w:rsidRPr="0012576B">
        <w:rPr>
          <w:rFonts w:ascii="Calibri" w:hAnsi="Calibri"/>
          <w:b w:val="0"/>
          <w:color w:val="auto"/>
          <w:szCs w:val="22"/>
          <w:lang w:eastAsia="zh-CN" w:bidi="ar-SA"/>
        </w:rPr>
        <w:t>nie przedłożyły informacji lub oświadczenia, o którym mowa w art. 21 ust 3-7 ww. ustawy lub co do których Wykonawca powziął informację, że w stosunku do nich prowadzone są postępowania karne o których mowa w art. 2 lub art. 21 ust.3 ww. ustawy.</w:t>
      </w:r>
    </w:p>
    <w:p w14:paraId="059512E3" w14:textId="77777777" w:rsidR="009746EA" w:rsidRDefault="009746EA"/>
    <w:sectPr w:rsidR="009746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92DFA" w14:textId="77777777" w:rsidR="00705678" w:rsidRDefault="00705678" w:rsidP="00D823F6">
      <w:pPr>
        <w:spacing w:before="0" w:after="0" w:line="240" w:lineRule="auto"/>
      </w:pPr>
      <w:r>
        <w:separator/>
      </w:r>
    </w:p>
  </w:endnote>
  <w:endnote w:type="continuationSeparator" w:id="0">
    <w:p w14:paraId="5B6A6F1C" w14:textId="77777777" w:rsidR="00705678" w:rsidRDefault="00705678" w:rsidP="00D823F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325BD" w14:textId="77777777" w:rsidR="00705678" w:rsidRDefault="00705678" w:rsidP="00D823F6">
      <w:pPr>
        <w:spacing w:before="0" w:after="0" w:line="240" w:lineRule="auto"/>
      </w:pPr>
      <w:r>
        <w:separator/>
      </w:r>
    </w:p>
  </w:footnote>
  <w:footnote w:type="continuationSeparator" w:id="0">
    <w:p w14:paraId="144436DE" w14:textId="77777777" w:rsidR="00705678" w:rsidRDefault="00705678" w:rsidP="00D823F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8A3AD" w14:textId="482F3C78" w:rsidR="00D823F6" w:rsidRPr="00D823F6" w:rsidRDefault="00D823F6" w:rsidP="00D823F6">
    <w:pPr>
      <w:pStyle w:val="Nagwek"/>
      <w:jc w:val="right"/>
      <w:rPr>
        <w:rFonts w:ascii="Calibri" w:eastAsia="Calibri" w:hAnsi="Calibri" w:cs="Calibri"/>
        <w:b w:val="0"/>
        <w:color w:val="auto"/>
        <w:szCs w:val="22"/>
        <w:lang w:eastAsia="en-US" w:bidi="ar-SA"/>
      </w:rPr>
    </w:pPr>
    <w:r>
      <w:tab/>
    </w:r>
    <w:r w:rsidRPr="00D823F6">
      <w:rPr>
        <w:rFonts w:ascii="Calibri" w:eastAsia="Calibri" w:hAnsi="Calibri" w:cs="Calibri"/>
        <w:b w:val="0"/>
        <w:color w:val="auto"/>
        <w:szCs w:val="22"/>
        <w:lang w:eastAsia="en-US" w:bidi="ar-SA"/>
      </w:rPr>
      <w:t>Załącznik nr</w:t>
    </w:r>
    <w:r>
      <w:rPr>
        <w:rFonts w:ascii="Calibri" w:eastAsia="Calibri" w:hAnsi="Calibri" w:cs="Calibri"/>
        <w:b w:val="0"/>
        <w:color w:val="auto"/>
        <w:szCs w:val="22"/>
        <w:lang w:eastAsia="en-US" w:bidi="ar-SA"/>
      </w:rPr>
      <w:t xml:space="preserve"> 6</w:t>
    </w:r>
    <w:r w:rsidRPr="00D823F6">
      <w:rPr>
        <w:rFonts w:ascii="Calibri" w:eastAsia="Calibri" w:hAnsi="Calibri" w:cs="Calibri"/>
        <w:b w:val="0"/>
        <w:color w:val="auto"/>
        <w:szCs w:val="22"/>
        <w:lang w:eastAsia="en-US" w:bidi="ar-SA"/>
      </w:rPr>
      <w:t xml:space="preserve"> do Umowy</w:t>
    </w:r>
  </w:p>
  <w:p w14:paraId="7C70EBE0" w14:textId="257BFA04" w:rsidR="00D823F6" w:rsidRDefault="00D823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F634F"/>
    <w:multiLevelType w:val="hybridMultilevel"/>
    <w:tmpl w:val="0D026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E4464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3E2C"/>
    <w:multiLevelType w:val="hybridMultilevel"/>
    <w:tmpl w:val="D6286514"/>
    <w:lvl w:ilvl="0" w:tplc="2818AF62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181090">
    <w:abstractNumId w:val="0"/>
  </w:num>
  <w:num w:numId="2" w16cid:durableId="658770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91A"/>
    <w:rsid w:val="0001491A"/>
    <w:rsid w:val="00045DF4"/>
    <w:rsid w:val="0012576B"/>
    <w:rsid w:val="001550A9"/>
    <w:rsid w:val="00197D13"/>
    <w:rsid w:val="00204C03"/>
    <w:rsid w:val="002367B5"/>
    <w:rsid w:val="002E0230"/>
    <w:rsid w:val="00373C2C"/>
    <w:rsid w:val="003D1298"/>
    <w:rsid w:val="003D1F23"/>
    <w:rsid w:val="003D38DC"/>
    <w:rsid w:val="0046778E"/>
    <w:rsid w:val="004857EF"/>
    <w:rsid w:val="0051406A"/>
    <w:rsid w:val="00564CB9"/>
    <w:rsid w:val="00631F1A"/>
    <w:rsid w:val="00671789"/>
    <w:rsid w:val="00674AC2"/>
    <w:rsid w:val="006C507D"/>
    <w:rsid w:val="00705678"/>
    <w:rsid w:val="00750228"/>
    <w:rsid w:val="00772A9D"/>
    <w:rsid w:val="00787C56"/>
    <w:rsid w:val="00800929"/>
    <w:rsid w:val="00811E7F"/>
    <w:rsid w:val="008D44E2"/>
    <w:rsid w:val="008E2FDD"/>
    <w:rsid w:val="009711F5"/>
    <w:rsid w:val="009746EA"/>
    <w:rsid w:val="009E57CD"/>
    <w:rsid w:val="00B24888"/>
    <w:rsid w:val="00B81C49"/>
    <w:rsid w:val="00B84507"/>
    <w:rsid w:val="00B9061F"/>
    <w:rsid w:val="00B90747"/>
    <w:rsid w:val="00B9404D"/>
    <w:rsid w:val="00C32D96"/>
    <w:rsid w:val="00C348B7"/>
    <w:rsid w:val="00D276C2"/>
    <w:rsid w:val="00D823F6"/>
    <w:rsid w:val="00F63157"/>
    <w:rsid w:val="00FB2F65"/>
    <w:rsid w:val="00FC0D20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49308"/>
  <w15:chartTrackingRefBased/>
  <w15:docId w15:val="{ED24FA73-5F32-4A3A-B53B-09D1DC98E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120"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DF4"/>
    <w:pPr>
      <w:widowControl w:val="0"/>
    </w:pPr>
    <w:rPr>
      <w:rFonts w:cs="Times New Roman"/>
      <w:b/>
      <w:color w:val="000000"/>
      <w:kern w:val="0"/>
      <w:sz w:val="22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C0D20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0"/>
    </w:pPr>
    <w:rPr>
      <w:color w:val="auto"/>
      <w:szCs w:val="20"/>
      <w:lang w:bidi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8D44E2"/>
    <w:pPr>
      <w:keepNext/>
      <w:keepLines/>
      <w:widowControl/>
      <w:outlineLvl w:val="1"/>
    </w:pPr>
    <w:rPr>
      <w:rFonts w:eastAsiaTheme="majorEastAsia" w:cstheme="majorBidi"/>
      <w:b w:val="0"/>
      <w:color w:val="auto"/>
      <w:kern w:val="2"/>
      <w:szCs w:val="26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49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49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49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49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49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491A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491A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C0D20"/>
    <w:rPr>
      <w:rFonts w:cs="Times New Roman"/>
      <w:b/>
      <w:kern w:val="0"/>
      <w:sz w:val="22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D44E2"/>
    <w:rPr>
      <w:rFonts w:eastAsiaTheme="majorEastAsia" w:cstheme="majorBidi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491A"/>
    <w:rPr>
      <w:rFonts w:eastAsiaTheme="majorEastAsia" w:cstheme="majorBidi"/>
      <w:b/>
      <w:color w:val="2F5496" w:themeColor="accent1" w:themeShade="BF"/>
      <w:kern w:val="0"/>
      <w:sz w:val="28"/>
      <w:szCs w:val="28"/>
      <w:lang w:eastAsia="pl-PL" w:bidi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491A"/>
    <w:rPr>
      <w:rFonts w:eastAsiaTheme="majorEastAsia" w:cstheme="majorBidi"/>
      <w:b/>
      <w:i/>
      <w:iCs/>
      <w:color w:val="2F5496" w:themeColor="accent1" w:themeShade="BF"/>
      <w:kern w:val="0"/>
      <w:sz w:val="22"/>
      <w:lang w:eastAsia="pl-PL" w:bidi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491A"/>
    <w:rPr>
      <w:rFonts w:eastAsiaTheme="majorEastAsia" w:cstheme="majorBidi"/>
      <w:b/>
      <w:color w:val="2F5496" w:themeColor="accent1" w:themeShade="BF"/>
      <w:kern w:val="0"/>
      <w:sz w:val="22"/>
      <w:lang w:eastAsia="pl-PL" w:bidi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491A"/>
    <w:rPr>
      <w:rFonts w:eastAsiaTheme="majorEastAsia" w:cstheme="majorBidi"/>
      <w:b/>
      <w:i/>
      <w:iCs/>
      <w:color w:val="595959" w:themeColor="text1" w:themeTint="A6"/>
      <w:kern w:val="0"/>
      <w:sz w:val="22"/>
      <w:lang w:eastAsia="pl-PL" w:bidi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491A"/>
    <w:rPr>
      <w:rFonts w:eastAsiaTheme="majorEastAsia" w:cstheme="majorBidi"/>
      <w:b/>
      <w:color w:val="595959" w:themeColor="text1" w:themeTint="A6"/>
      <w:kern w:val="0"/>
      <w:sz w:val="22"/>
      <w:lang w:eastAsia="pl-PL" w:bidi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491A"/>
    <w:rPr>
      <w:rFonts w:eastAsiaTheme="majorEastAsia" w:cstheme="majorBidi"/>
      <w:b/>
      <w:i/>
      <w:iCs/>
      <w:color w:val="272727" w:themeColor="text1" w:themeTint="D8"/>
      <w:kern w:val="0"/>
      <w:sz w:val="22"/>
      <w:lang w:eastAsia="pl-PL" w:bidi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491A"/>
    <w:rPr>
      <w:rFonts w:eastAsiaTheme="majorEastAsia" w:cstheme="majorBidi"/>
      <w:b/>
      <w:color w:val="272727" w:themeColor="text1" w:themeTint="D8"/>
      <w:kern w:val="0"/>
      <w:sz w:val="22"/>
      <w:lang w:eastAsia="pl-PL" w:bidi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01491A"/>
    <w:pPr>
      <w:spacing w:before="0"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491A"/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pl-PL" w:bidi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491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491A"/>
    <w:rPr>
      <w:rFonts w:eastAsiaTheme="majorEastAsia" w:cstheme="majorBidi"/>
      <w:b/>
      <w:color w:val="595959" w:themeColor="text1" w:themeTint="A6"/>
      <w:spacing w:val="15"/>
      <w:kern w:val="0"/>
      <w:sz w:val="28"/>
      <w:szCs w:val="28"/>
      <w:lang w:eastAsia="pl-PL" w:bidi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0149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491A"/>
    <w:rPr>
      <w:rFonts w:cs="Times New Roman"/>
      <w:b/>
      <w:i/>
      <w:iCs/>
      <w:color w:val="404040" w:themeColor="text1" w:themeTint="BF"/>
      <w:kern w:val="0"/>
      <w:sz w:val="22"/>
      <w:lang w:eastAsia="pl-PL" w:bidi="pl-PL"/>
      <w14:ligatures w14:val="none"/>
    </w:rPr>
  </w:style>
  <w:style w:type="paragraph" w:styleId="Akapitzlist">
    <w:name w:val="List Paragraph"/>
    <w:basedOn w:val="Normalny"/>
    <w:uiPriority w:val="34"/>
    <w:qFormat/>
    <w:rsid w:val="000149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491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49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491A"/>
    <w:rPr>
      <w:rFonts w:cs="Times New Roman"/>
      <w:b/>
      <w:i/>
      <w:iCs/>
      <w:color w:val="2F5496" w:themeColor="accent1" w:themeShade="BF"/>
      <w:kern w:val="0"/>
      <w:sz w:val="22"/>
      <w:lang w:eastAsia="pl-PL" w:bidi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01491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823F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3F6"/>
    <w:rPr>
      <w:rFonts w:cs="Times New Roman"/>
      <w:b/>
      <w:color w:val="000000"/>
      <w:kern w:val="0"/>
      <w:sz w:val="22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823F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3F6"/>
    <w:rPr>
      <w:rFonts w:cs="Times New Roman"/>
      <w:b/>
      <w:color w:val="000000"/>
      <w:kern w:val="0"/>
      <w:sz w:val="22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Dróżdż Monika (ZZW)</cp:lastModifiedBy>
  <cp:revision>3</cp:revision>
  <cp:lastPrinted>2025-12-01T10:50:00Z</cp:lastPrinted>
  <dcterms:created xsi:type="dcterms:W3CDTF">2025-07-09T09:42:00Z</dcterms:created>
  <dcterms:modified xsi:type="dcterms:W3CDTF">2025-12-01T10:50:00Z</dcterms:modified>
</cp:coreProperties>
</file>